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BF" w:rsidRDefault="00B87CBF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B87CBF" w:rsidRDefault="00B87CBF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B87CBF" w:rsidRDefault="00B87CBF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56503" w:rsidRDefault="00056503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B87CBF" w:rsidRDefault="00B87CBF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B87CBF" w:rsidRDefault="00B87CBF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9B3681" w:rsidRPr="009B3681" w:rsidRDefault="00F620D7" w:rsidP="00F620D7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3681">
        <w:rPr>
          <w:rFonts w:ascii="Times New Roman" w:hAnsi="Times New Roman" w:cs="Times New Roman"/>
          <w:b/>
          <w:sz w:val="36"/>
          <w:szCs w:val="36"/>
        </w:rPr>
        <w:t xml:space="preserve">ИЗВОДИ И ПРЕДЛОЖЕНИЯ </w:t>
      </w:r>
    </w:p>
    <w:p w:rsidR="009B3681" w:rsidRPr="009B3681" w:rsidRDefault="00F620D7" w:rsidP="00F620D7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3681">
        <w:rPr>
          <w:rFonts w:ascii="Times New Roman" w:hAnsi="Times New Roman" w:cs="Times New Roman"/>
          <w:b/>
          <w:sz w:val="36"/>
          <w:szCs w:val="36"/>
        </w:rPr>
        <w:t xml:space="preserve">ЗА ПОДОБРЯВАНЕ УПРАВЛЕНИЕТО НА ОТПАДЪЦИТЕ                               </w:t>
      </w:r>
    </w:p>
    <w:p w:rsidR="00834DFF" w:rsidRPr="009B3681" w:rsidRDefault="00F620D7" w:rsidP="00F620D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3681">
        <w:rPr>
          <w:rFonts w:ascii="Times New Roman" w:hAnsi="Times New Roman" w:cs="Times New Roman"/>
          <w:b/>
          <w:sz w:val="36"/>
          <w:szCs w:val="36"/>
        </w:rPr>
        <w:t>НА ТЕРИТОРИЯТА НА ОБЩИНА БЛАГОЕВГРАД         С ЦЕЛ ИЗПЪЛНЕНИЕ НА ЗАЛОЖЕНИТЕ В ЗАКОНОДАТЕЛСТВОТО ЦЕЛИ</w:t>
      </w:r>
    </w:p>
    <w:p w:rsidR="00516804" w:rsidRPr="009B3681" w:rsidRDefault="00516804" w:rsidP="00F620D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9B3681" w:rsidRDefault="009B3681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9B3681" w:rsidRDefault="009B3681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9B3681" w:rsidRDefault="009B3681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  <w:bookmarkStart w:id="0" w:name="_GoBack"/>
      <w:bookmarkEnd w:id="0"/>
    </w:p>
    <w:p w:rsidR="00516804" w:rsidRDefault="00516804" w:rsidP="00F620D7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516804" w:rsidRPr="00512B8C" w:rsidRDefault="00A85E14" w:rsidP="00F620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B8C">
        <w:rPr>
          <w:rFonts w:ascii="Times New Roman" w:hAnsi="Times New Roman" w:cs="Times New Roman"/>
          <w:b/>
          <w:sz w:val="24"/>
          <w:szCs w:val="24"/>
        </w:rPr>
        <w:t>СЪДЪРЖАНИЕ</w:t>
      </w:r>
    </w:p>
    <w:p w:rsidR="00A85E14" w:rsidRDefault="00A85E14" w:rsidP="00F620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5E14" w:rsidRDefault="00A85E14" w:rsidP="00A85E14">
      <w:pPr>
        <w:rPr>
          <w:rFonts w:ascii="Times New Roman" w:hAnsi="Times New Roman" w:cs="Times New Roman"/>
          <w:b/>
          <w:sz w:val="24"/>
          <w:szCs w:val="24"/>
        </w:rPr>
      </w:pPr>
      <w:r w:rsidRPr="00476B4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519A9">
        <w:rPr>
          <w:rFonts w:ascii="Times New Roman" w:hAnsi="Times New Roman" w:cs="Times New Roman"/>
          <w:b/>
          <w:sz w:val="24"/>
          <w:szCs w:val="24"/>
        </w:rPr>
        <w:t>Основни изводи и предложения относно битовите отпадъци</w:t>
      </w:r>
      <w:r w:rsidR="00A92E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9A9">
        <w:rPr>
          <w:rFonts w:ascii="Times New Roman" w:hAnsi="Times New Roman" w:cs="Times New Roman"/>
          <w:b/>
          <w:sz w:val="24"/>
          <w:szCs w:val="24"/>
        </w:rPr>
        <w:t>……………...……</w:t>
      </w:r>
      <w:r w:rsidR="00745CC0">
        <w:rPr>
          <w:rFonts w:ascii="Times New Roman" w:hAnsi="Times New Roman" w:cs="Times New Roman"/>
          <w:b/>
          <w:sz w:val="24"/>
          <w:szCs w:val="24"/>
        </w:rPr>
        <w:t>...</w:t>
      </w:r>
      <w:r w:rsidR="004634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9A9">
        <w:rPr>
          <w:rFonts w:ascii="Times New Roman" w:hAnsi="Times New Roman" w:cs="Times New Roman"/>
          <w:b/>
          <w:sz w:val="24"/>
          <w:szCs w:val="24"/>
        </w:rPr>
        <w:t>3</w:t>
      </w:r>
    </w:p>
    <w:p w:rsidR="006519A9" w:rsidRDefault="006519A9" w:rsidP="006519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Основни изводи и предложения относно строителните отпадъци</w:t>
      </w:r>
      <w:r w:rsidR="00A92E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…………</w:t>
      </w:r>
      <w:r w:rsidR="002F062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162067">
        <w:rPr>
          <w:rFonts w:ascii="Times New Roman" w:hAnsi="Times New Roman" w:cs="Times New Roman"/>
          <w:b/>
          <w:sz w:val="24"/>
          <w:szCs w:val="24"/>
        </w:rPr>
        <w:t>…..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894593" w:rsidRDefault="00E8257D" w:rsidP="006519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94593">
        <w:rPr>
          <w:rFonts w:ascii="Times New Roman" w:hAnsi="Times New Roman" w:cs="Times New Roman"/>
          <w:b/>
          <w:sz w:val="24"/>
          <w:szCs w:val="24"/>
        </w:rPr>
        <w:t>Основни изводи и предложения относно масово разпространените отпадъци</w:t>
      </w:r>
      <w:r w:rsidR="00162067">
        <w:rPr>
          <w:rFonts w:ascii="Times New Roman" w:hAnsi="Times New Roman" w:cs="Times New Roman"/>
          <w:b/>
          <w:sz w:val="24"/>
          <w:szCs w:val="24"/>
        </w:rPr>
        <w:t>…..</w:t>
      </w:r>
      <w:r w:rsidR="00894593">
        <w:rPr>
          <w:rFonts w:ascii="Times New Roman" w:hAnsi="Times New Roman" w:cs="Times New Roman"/>
          <w:b/>
          <w:sz w:val="24"/>
          <w:szCs w:val="24"/>
        </w:rPr>
        <w:t>3</w:t>
      </w:r>
    </w:p>
    <w:p w:rsidR="009D491A" w:rsidRDefault="00162067" w:rsidP="00162067">
      <w:p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55DB8">
        <w:rPr>
          <w:rFonts w:ascii="Times New Roman" w:hAnsi="Times New Roman" w:cs="Times New Roman"/>
          <w:b/>
          <w:sz w:val="24"/>
          <w:szCs w:val="24"/>
        </w:rPr>
        <w:t>Изводи и препоръки от анализа и оценката на прилагането на законодателството</w:t>
      </w:r>
      <w:r w:rsidR="00FC51B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управление на отпадъците…………………………………...</w:t>
      </w:r>
      <w:r w:rsidR="009D491A">
        <w:rPr>
          <w:rFonts w:ascii="Times New Roman" w:hAnsi="Times New Roman" w:cs="Times New Roman"/>
          <w:b/>
          <w:sz w:val="24"/>
          <w:szCs w:val="24"/>
        </w:rPr>
        <w:t>4</w:t>
      </w:r>
    </w:p>
    <w:p w:rsidR="009D491A" w:rsidRDefault="009D491A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Изводи и препоръки от анализа и оценката на стратегическите документи </w:t>
      </w:r>
      <w:r w:rsidR="00162067">
        <w:rPr>
          <w:rFonts w:ascii="Times New Roman" w:hAnsi="Times New Roman" w:cs="Times New Roman"/>
          <w:b/>
          <w:sz w:val="24"/>
          <w:szCs w:val="24"/>
        </w:rPr>
        <w:t>……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CE2B5A" w:rsidRDefault="00CE2B5A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Изводи и препоръки от дейността на ре</w:t>
      </w:r>
      <w:r w:rsidR="00162067">
        <w:rPr>
          <w:rFonts w:ascii="Times New Roman" w:hAnsi="Times New Roman" w:cs="Times New Roman"/>
          <w:b/>
          <w:sz w:val="24"/>
          <w:szCs w:val="24"/>
        </w:rPr>
        <w:t>гионалното сдружение …………………...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B36494" w:rsidRDefault="00B36494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7. Изводи и препоръки от анализа на на</w:t>
      </w:r>
      <w:r w:rsidR="00162067">
        <w:rPr>
          <w:rFonts w:ascii="Times New Roman" w:hAnsi="Times New Roman" w:cs="Times New Roman"/>
          <w:b/>
          <w:sz w:val="24"/>
          <w:szCs w:val="24"/>
        </w:rPr>
        <w:t>личната инфраструктура ………………….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53FD1" w:rsidRDefault="00753FD1" w:rsidP="00FC51BE">
      <w:p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</w:rPr>
        <w:t>Изводи и препоръки от анализа и оценката на изпълнение на контр</w:t>
      </w:r>
      <w:r w:rsidR="000536E2">
        <w:rPr>
          <w:rFonts w:ascii="Times New Roman" w:hAnsi="Times New Roman" w:cs="Times New Roman"/>
          <w:b/>
          <w:sz w:val="24"/>
          <w:szCs w:val="24"/>
        </w:rPr>
        <w:t>олните функции от страна на О</w:t>
      </w:r>
      <w:r w:rsidR="00FC51BE">
        <w:rPr>
          <w:rFonts w:ascii="Times New Roman" w:hAnsi="Times New Roman" w:cs="Times New Roman"/>
          <w:b/>
          <w:sz w:val="24"/>
          <w:szCs w:val="24"/>
        </w:rPr>
        <w:t xml:space="preserve">бщина Благоевград </w:t>
      </w:r>
      <w:proofErr w:type="gramStart"/>
      <w:r w:rsidR="00FC51BE">
        <w:rPr>
          <w:rFonts w:ascii="Times New Roman" w:hAnsi="Times New Roman" w:cs="Times New Roman"/>
          <w:b/>
          <w:sz w:val="24"/>
          <w:szCs w:val="24"/>
        </w:rPr>
        <w:t>……………………...</w:t>
      </w:r>
      <w:r>
        <w:rPr>
          <w:rFonts w:ascii="Times New Roman" w:hAnsi="Times New Roman" w:cs="Times New Roman"/>
          <w:b/>
          <w:sz w:val="24"/>
          <w:szCs w:val="24"/>
        </w:rPr>
        <w:t>………</w:t>
      </w:r>
      <w:r w:rsidR="000536E2">
        <w:rPr>
          <w:rFonts w:ascii="Times New Roman" w:hAnsi="Times New Roman" w:cs="Times New Roman"/>
          <w:b/>
          <w:sz w:val="24"/>
          <w:szCs w:val="24"/>
        </w:rPr>
        <w:t>...</w:t>
      </w:r>
      <w:r w:rsidR="00162067">
        <w:rPr>
          <w:rFonts w:ascii="Times New Roman" w:hAnsi="Times New Roman" w:cs="Times New Roman"/>
          <w:b/>
          <w:sz w:val="24"/>
          <w:szCs w:val="24"/>
        </w:rPr>
        <w:t>……….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</w:p>
    <w:p w:rsidR="00566063" w:rsidRDefault="00566063" w:rsidP="00895B9F">
      <w:p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Изводи и препоръки от анализа на въведените икономически инструменти и </w:t>
      </w:r>
      <w:r w:rsidR="00895B9F">
        <w:rPr>
          <w:rFonts w:ascii="Times New Roman" w:hAnsi="Times New Roman" w:cs="Times New Roman"/>
          <w:b/>
          <w:sz w:val="24"/>
          <w:szCs w:val="24"/>
        </w:rPr>
        <w:t xml:space="preserve">  стимули 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</w:t>
      </w:r>
      <w:r w:rsidR="00895B9F">
        <w:rPr>
          <w:rFonts w:ascii="Times New Roman" w:hAnsi="Times New Roman" w:cs="Times New Roman"/>
          <w:b/>
          <w:sz w:val="24"/>
          <w:szCs w:val="24"/>
        </w:rPr>
        <w:t>...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 6</w:t>
      </w:r>
    </w:p>
    <w:p w:rsidR="00125AC0" w:rsidRDefault="00125AC0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AC0" w:rsidRDefault="00125AC0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AC0" w:rsidRDefault="00125AC0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AC0" w:rsidRDefault="00125AC0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AC0" w:rsidRDefault="00125AC0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C7B" w:rsidRDefault="00450C7B" w:rsidP="009D491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9CE" w:rsidRPr="003B19A7" w:rsidRDefault="00450C7B" w:rsidP="00704529">
      <w:pPr>
        <w:pStyle w:val="a3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9A7">
        <w:rPr>
          <w:rFonts w:ascii="Times New Roman" w:hAnsi="Times New Roman" w:cs="Times New Roman"/>
          <w:b/>
          <w:sz w:val="24"/>
          <w:szCs w:val="24"/>
        </w:rPr>
        <w:t>Основни изводи и предложения относно битовите отпадъци</w:t>
      </w:r>
    </w:p>
    <w:p w:rsidR="00D34A93" w:rsidRDefault="00F409CE" w:rsidP="000F2F81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before="24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9CE">
        <w:rPr>
          <w:rFonts w:ascii="Times New Roman" w:hAnsi="Times New Roman" w:cs="Times New Roman"/>
          <w:sz w:val="24"/>
          <w:szCs w:val="24"/>
        </w:rPr>
        <w:t>Общото коли</w:t>
      </w:r>
      <w:r w:rsidR="00D34A93">
        <w:rPr>
          <w:rFonts w:ascii="Times New Roman" w:hAnsi="Times New Roman" w:cs="Times New Roman"/>
          <w:sz w:val="24"/>
          <w:szCs w:val="24"/>
        </w:rPr>
        <w:t>чество на образуваните битови отпадъци следва да бъде намалено.</w:t>
      </w:r>
    </w:p>
    <w:p w:rsidR="00D318C9" w:rsidRPr="003911DF" w:rsidRDefault="00D34A93" w:rsidP="000F2F81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9CE">
        <w:rPr>
          <w:rFonts w:ascii="Times New Roman" w:hAnsi="Times New Roman" w:cs="Times New Roman"/>
          <w:sz w:val="24"/>
          <w:szCs w:val="24"/>
        </w:rPr>
        <w:t>Общото коли</w:t>
      </w:r>
      <w:r>
        <w:rPr>
          <w:rFonts w:ascii="Times New Roman" w:hAnsi="Times New Roman" w:cs="Times New Roman"/>
          <w:sz w:val="24"/>
          <w:szCs w:val="24"/>
        </w:rPr>
        <w:t xml:space="preserve">чество на образуваните битови отпадъци следва тенденция към </w:t>
      </w:r>
      <w:r w:rsidR="00BA4668">
        <w:rPr>
          <w:rFonts w:ascii="Times New Roman" w:hAnsi="Times New Roman" w:cs="Times New Roman"/>
          <w:sz w:val="24"/>
          <w:szCs w:val="24"/>
        </w:rPr>
        <w:t>намаление като за периода 2016-</w:t>
      </w:r>
      <w:r>
        <w:rPr>
          <w:rFonts w:ascii="Times New Roman" w:hAnsi="Times New Roman" w:cs="Times New Roman"/>
          <w:sz w:val="24"/>
          <w:szCs w:val="24"/>
        </w:rPr>
        <w:t>2020 г. се запазва относително постоянно</w:t>
      </w:r>
      <w:r w:rsidR="00162067">
        <w:rPr>
          <w:rFonts w:ascii="Times New Roman" w:hAnsi="Times New Roman" w:cs="Times New Roman"/>
          <w:sz w:val="24"/>
          <w:szCs w:val="24"/>
        </w:rPr>
        <w:t xml:space="preserve">. </w:t>
      </w:r>
      <w:r w:rsidR="000536E2" w:rsidRPr="003911DF">
        <w:rPr>
          <w:rFonts w:ascii="Times New Roman" w:hAnsi="Times New Roman" w:cs="Times New Roman"/>
          <w:sz w:val="24"/>
          <w:szCs w:val="24"/>
        </w:rPr>
        <w:t xml:space="preserve">В сравнителен план с национално ниво, </w:t>
      </w:r>
      <w:r w:rsidR="0003287F" w:rsidRPr="003911DF">
        <w:rPr>
          <w:rFonts w:ascii="Times New Roman" w:hAnsi="Times New Roman" w:cs="Times New Roman"/>
          <w:sz w:val="24"/>
          <w:szCs w:val="24"/>
        </w:rPr>
        <w:t>о</w:t>
      </w:r>
      <w:r w:rsidR="00A331EF" w:rsidRPr="003911DF">
        <w:rPr>
          <w:rFonts w:ascii="Times New Roman" w:hAnsi="Times New Roman" w:cs="Times New Roman"/>
          <w:sz w:val="24"/>
          <w:szCs w:val="24"/>
        </w:rPr>
        <w:t xml:space="preserve">бщина Благоевград е под средното </w:t>
      </w:r>
      <w:r w:rsidR="006C07D0" w:rsidRPr="003911DF">
        <w:rPr>
          <w:rFonts w:ascii="Times New Roman" w:hAnsi="Times New Roman" w:cs="Times New Roman"/>
          <w:sz w:val="24"/>
          <w:szCs w:val="24"/>
        </w:rPr>
        <w:t>ниво на образуване на битови от</w:t>
      </w:r>
      <w:r w:rsidR="00B50ED5" w:rsidRPr="003911DF">
        <w:rPr>
          <w:rFonts w:ascii="Times New Roman" w:hAnsi="Times New Roman" w:cs="Times New Roman"/>
          <w:sz w:val="24"/>
          <w:szCs w:val="24"/>
        </w:rPr>
        <w:t xml:space="preserve">падъци </w:t>
      </w:r>
      <w:r w:rsidR="0003287F" w:rsidRPr="003911DF">
        <w:rPr>
          <w:rFonts w:ascii="Times New Roman" w:hAnsi="Times New Roman" w:cs="Times New Roman"/>
          <w:sz w:val="24"/>
          <w:szCs w:val="24"/>
        </w:rPr>
        <w:t>на жител на година за 2018 г. – 407 кг/жител за България.</w:t>
      </w:r>
    </w:p>
    <w:p w:rsidR="007C686E" w:rsidRDefault="0003287F" w:rsidP="002A69DA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Наблюдаваните тенденции показват, че </w:t>
      </w:r>
      <w:r w:rsidR="00D318C9">
        <w:rPr>
          <w:rFonts w:ascii="Times New Roman" w:hAnsi="Times New Roman" w:cs="Times New Roman"/>
          <w:sz w:val="24"/>
          <w:szCs w:val="24"/>
        </w:rPr>
        <w:t xml:space="preserve">общината има капацитет да постигне националните и общоевропейските количества цели за рециклиране и намаляване на депонираните битови отпадъци при въвеждане в експлоатация на изградените и планирани съоръжения за предварително третиране, </w:t>
      </w:r>
      <w:r w:rsidR="009658CF">
        <w:rPr>
          <w:rFonts w:ascii="Times New Roman" w:hAnsi="Times New Roman" w:cs="Times New Roman"/>
          <w:sz w:val="24"/>
          <w:szCs w:val="24"/>
        </w:rPr>
        <w:t>ком</w:t>
      </w:r>
      <w:r w:rsidR="00D318C9">
        <w:rPr>
          <w:rFonts w:ascii="Times New Roman" w:hAnsi="Times New Roman" w:cs="Times New Roman"/>
          <w:sz w:val="24"/>
          <w:szCs w:val="24"/>
        </w:rPr>
        <w:t>постиране и анаеробно разграждане.</w:t>
      </w:r>
    </w:p>
    <w:p w:rsidR="007C686E" w:rsidRPr="007C686E" w:rsidRDefault="006723D6" w:rsidP="002A69DA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86E">
        <w:rPr>
          <w:rFonts w:ascii="Times New Roman" w:hAnsi="Times New Roman" w:cs="Times New Roman"/>
          <w:sz w:val="24"/>
          <w:szCs w:val="24"/>
        </w:rPr>
        <w:t>Община Благоевград</w:t>
      </w:r>
      <w:r w:rsidR="009658CF" w:rsidRPr="007C686E">
        <w:rPr>
          <w:rFonts w:ascii="Times New Roman" w:hAnsi="Times New Roman" w:cs="Times New Roman"/>
          <w:sz w:val="24"/>
          <w:szCs w:val="24"/>
        </w:rPr>
        <w:t xml:space="preserve"> при постигане на количествените цели за рец</w:t>
      </w:r>
      <w:r w:rsidR="00BE3D74" w:rsidRPr="007C686E">
        <w:rPr>
          <w:rFonts w:ascii="Times New Roman" w:hAnsi="Times New Roman" w:cs="Times New Roman"/>
          <w:sz w:val="24"/>
          <w:szCs w:val="24"/>
        </w:rPr>
        <w:t>иклиране и оползотворяване на битовите отпадъци</w:t>
      </w:r>
      <w:r w:rsidR="003B19A7" w:rsidRPr="007C686E">
        <w:rPr>
          <w:rFonts w:ascii="Times New Roman" w:hAnsi="Times New Roman" w:cs="Times New Roman"/>
          <w:sz w:val="24"/>
          <w:szCs w:val="24"/>
        </w:rPr>
        <w:t>,</w:t>
      </w:r>
      <w:r w:rsidR="00BE3D74" w:rsidRPr="007C686E">
        <w:rPr>
          <w:rFonts w:ascii="Times New Roman" w:hAnsi="Times New Roman" w:cs="Times New Roman"/>
          <w:sz w:val="24"/>
          <w:szCs w:val="24"/>
        </w:rPr>
        <w:t xml:space="preserve"> ежегодно </w:t>
      </w:r>
      <w:r w:rsidR="003B19A7" w:rsidRPr="007C686E">
        <w:rPr>
          <w:rFonts w:ascii="Times New Roman" w:hAnsi="Times New Roman" w:cs="Times New Roman"/>
          <w:sz w:val="24"/>
          <w:szCs w:val="24"/>
        </w:rPr>
        <w:t>може да планира възстановяване или заплащане на  намален размер на отчисления по ЗУО.</w:t>
      </w:r>
    </w:p>
    <w:p w:rsidR="003B19A7" w:rsidRDefault="003B19A7" w:rsidP="002A69DA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Общината следва да планира и изпълни допълнителни мерки за организиране на системи за разделно събираните битови отпадъци и увеличаване на количествата на подготвените за повторна употреба и рециклиране битови отпадъци.</w:t>
      </w:r>
    </w:p>
    <w:p w:rsidR="003B19A7" w:rsidRDefault="003B19A7" w:rsidP="002A69DA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Делът на населението, обхванато от системите за организирано сметосъбиране и транспортиране на битовите отпадъци достига 100 %.</w:t>
      </w:r>
    </w:p>
    <w:p w:rsidR="003B19A7" w:rsidRDefault="003B19A7" w:rsidP="00704529">
      <w:pPr>
        <w:pStyle w:val="a3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C686E" w:rsidRPr="003E7EF3" w:rsidRDefault="003E7EF3" w:rsidP="00704529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Основни изводи и предложения относно строителните отпадъци</w:t>
      </w:r>
    </w:p>
    <w:p w:rsidR="0003287F" w:rsidRDefault="007637B0" w:rsidP="00353597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120" w:after="120" w:line="276" w:lineRule="auto"/>
        <w:ind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Образуваните строителни отпадъци се депонират на общинско депо.</w:t>
      </w:r>
    </w:p>
    <w:p w:rsidR="000B19D8" w:rsidRDefault="007637B0" w:rsidP="00353597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Препоръчително е да се развие система за разделно събиране на строителни отпадъци от ремонтни дейности от домакинства.</w:t>
      </w:r>
    </w:p>
    <w:p w:rsidR="007F480D" w:rsidRDefault="00AC1971" w:rsidP="00353597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19D8">
        <w:rPr>
          <w:rFonts w:ascii="Times New Roman" w:hAnsi="Times New Roman" w:cs="Times New Roman"/>
          <w:sz w:val="24"/>
          <w:szCs w:val="24"/>
        </w:rPr>
        <w:t>Не е налично целенасочено проучване и информация относно количествата и вида на строителни отпадъци от ремонтната дейност на домакинства, който поток отпадъци е ангажимент на общината за оползотворяване или обезвреждане.</w:t>
      </w:r>
    </w:p>
    <w:p w:rsidR="007F480D" w:rsidRDefault="007F480D" w:rsidP="00704529">
      <w:pPr>
        <w:pStyle w:val="a3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F480D" w:rsidRPr="00D9080D" w:rsidRDefault="00D9080D" w:rsidP="00704529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Основни изводи и предложения относно масово разпространените отпадъци</w:t>
      </w:r>
    </w:p>
    <w:p w:rsidR="00D9080D" w:rsidRDefault="009F39A9" w:rsidP="00353597">
      <w:pPr>
        <w:pStyle w:val="a3"/>
        <w:numPr>
          <w:ilvl w:val="0"/>
          <w:numId w:val="8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Организирана е система за разделно събиране на опаковки на територията на община Благоевград</w:t>
      </w:r>
      <w:r w:rsidR="00904D87">
        <w:rPr>
          <w:rFonts w:ascii="Times New Roman" w:hAnsi="Times New Roman" w:cs="Times New Roman"/>
          <w:sz w:val="24"/>
          <w:szCs w:val="24"/>
        </w:rPr>
        <w:t>.</w:t>
      </w:r>
    </w:p>
    <w:p w:rsidR="00904D87" w:rsidRPr="00DF29CF" w:rsidRDefault="00904D87" w:rsidP="00353597">
      <w:pPr>
        <w:pStyle w:val="a3"/>
        <w:numPr>
          <w:ilvl w:val="0"/>
          <w:numId w:val="8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29CF">
        <w:rPr>
          <w:rFonts w:ascii="Times New Roman" w:hAnsi="Times New Roman" w:cs="Times New Roman"/>
          <w:sz w:val="24"/>
          <w:szCs w:val="24"/>
        </w:rPr>
        <w:t xml:space="preserve">На територията на общината не </w:t>
      </w:r>
      <w:r w:rsidR="00DF29CF" w:rsidRPr="00DF29CF">
        <w:rPr>
          <w:rFonts w:ascii="Times New Roman" w:hAnsi="Times New Roman" w:cs="Times New Roman"/>
          <w:sz w:val="24"/>
          <w:szCs w:val="24"/>
        </w:rPr>
        <w:t>е</w:t>
      </w:r>
      <w:r w:rsidRPr="00DF29CF">
        <w:rPr>
          <w:rFonts w:ascii="Times New Roman" w:hAnsi="Times New Roman" w:cs="Times New Roman"/>
          <w:sz w:val="24"/>
          <w:szCs w:val="24"/>
        </w:rPr>
        <w:t xml:space="preserve"> организиран</w:t>
      </w:r>
      <w:r w:rsidR="00DF29CF" w:rsidRPr="00DF29CF">
        <w:rPr>
          <w:rFonts w:ascii="Times New Roman" w:hAnsi="Times New Roman" w:cs="Times New Roman"/>
          <w:sz w:val="24"/>
          <w:szCs w:val="24"/>
        </w:rPr>
        <w:t>а</w:t>
      </w:r>
      <w:r w:rsidRPr="00DF29CF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DF29CF" w:rsidRPr="00DF29CF">
        <w:rPr>
          <w:rFonts w:ascii="Times New Roman" w:hAnsi="Times New Roman" w:cs="Times New Roman"/>
          <w:sz w:val="24"/>
          <w:szCs w:val="24"/>
        </w:rPr>
        <w:t>а</w:t>
      </w:r>
      <w:r w:rsidRPr="00DF29CF">
        <w:rPr>
          <w:rFonts w:ascii="Times New Roman" w:hAnsi="Times New Roman" w:cs="Times New Roman"/>
          <w:sz w:val="24"/>
          <w:szCs w:val="24"/>
        </w:rPr>
        <w:t xml:space="preserve"> за </w:t>
      </w:r>
      <w:r w:rsidR="00DF29CF" w:rsidRPr="00DF29CF">
        <w:rPr>
          <w:rFonts w:ascii="Times New Roman" w:hAnsi="Times New Roman" w:cs="Times New Roman"/>
          <w:sz w:val="24"/>
          <w:szCs w:val="24"/>
        </w:rPr>
        <w:t>събиране на отработени</w:t>
      </w:r>
      <w:r w:rsidRPr="00DF29CF">
        <w:rPr>
          <w:rFonts w:ascii="Times New Roman" w:hAnsi="Times New Roman" w:cs="Times New Roman"/>
          <w:sz w:val="24"/>
          <w:szCs w:val="24"/>
        </w:rPr>
        <w:t xml:space="preserve"> масла и </w:t>
      </w:r>
      <w:r w:rsidR="00DF29CF" w:rsidRPr="00DF29CF">
        <w:rPr>
          <w:rFonts w:ascii="Times New Roman" w:hAnsi="Times New Roman" w:cs="Times New Roman"/>
          <w:sz w:val="24"/>
          <w:szCs w:val="24"/>
        </w:rPr>
        <w:t xml:space="preserve">отпадъчни </w:t>
      </w:r>
      <w:r w:rsidRPr="00DF29CF">
        <w:rPr>
          <w:rFonts w:ascii="Times New Roman" w:hAnsi="Times New Roman" w:cs="Times New Roman"/>
          <w:sz w:val="24"/>
          <w:szCs w:val="24"/>
        </w:rPr>
        <w:t>нефтопродукти.</w:t>
      </w:r>
    </w:p>
    <w:p w:rsidR="0007641A" w:rsidRDefault="00FA17D4" w:rsidP="00353597">
      <w:pPr>
        <w:pStyle w:val="a3"/>
        <w:numPr>
          <w:ilvl w:val="0"/>
          <w:numId w:val="8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17D4">
        <w:rPr>
          <w:rFonts w:ascii="Times New Roman" w:hAnsi="Times New Roman" w:cs="Times New Roman"/>
          <w:sz w:val="24"/>
          <w:szCs w:val="24"/>
        </w:rPr>
        <w:t xml:space="preserve">Необходимо е усъвършенстване </w:t>
      </w:r>
      <w:r>
        <w:rPr>
          <w:rFonts w:ascii="Times New Roman" w:hAnsi="Times New Roman" w:cs="Times New Roman"/>
          <w:sz w:val="24"/>
          <w:szCs w:val="24"/>
        </w:rPr>
        <w:t>и разширяване на системите за разделно събиране на масово разпространените отпадъци.</w:t>
      </w:r>
    </w:p>
    <w:p w:rsidR="00B93725" w:rsidRDefault="002C1615" w:rsidP="00353597">
      <w:pPr>
        <w:pStyle w:val="a3"/>
        <w:numPr>
          <w:ilvl w:val="0"/>
          <w:numId w:val="8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Необходимо</w:t>
      </w:r>
      <w:r w:rsidR="00B93725">
        <w:rPr>
          <w:rFonts w:ascii="Times New Roman" w:hAnsi="Times New Roman" w:cs="Times New Roman"/>
          <w:sz w:val="24"/>
          <w:szCs w:val="24"/>
        </w:rPr>
        <w:t xml:space="preserve"> е повишаване на количествата на разделно събраните отпадъци от опаковки.</w:t>
      </w:r>
    </w:p>
    <w:p w:rsidR="0066203F" w:rsidRDefault="0066203F" w:rsidP="0066203F">
      <w:pPr>
        <w:pStyle w:val="a3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90537" w:rsidRPr="00990537" w:rsidRDefault="004227EE" w:rsidP="00B2075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Изводи и препоръки от анализа и оценката на прилагането на законодателството по управление на отпадъците</w:t>
      </w:r>
    </w:p>
    <w:p w:rsidR="004227EE" w:rsidRDefault="00990537" w:rsidP="00B20755">
      <w:pPr>
        <w:pStyle w:val="a3"/>
        <w:numPr>
          <w:ilvl w:val="0"/>
          <w:numId w:val="9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Благоевград провежда политика и мерки в областта на управлението на отпадъците, въз основа на местни нормативни документи одобрени от общински съвет, които съответстват на разпоредбите на националното законодателство.</w:t>
      </w:r>
    </w:p>
    <w:p w:rsidR="00990537" w:rsidRDefault="00676551" w:rsidP="00B20755">
      <w:pPr>
        <w:pStyle w:val="a3"/>
        <w:numPr>
          <w:ilvl w:val="0"/>
          <w:numId w:val="9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Общината осъществява контрол в областта на управление на отпадъците и опазване на околната среда като цяло.</w:t>
      </w:r>
    </w:p>
    <w:p w:rsidR="007F3CDD" w:rsidRDefault="00676551" w:rsidP="00B20755">
      <w:pPr>
        <w:pStyle w:val="a3"/>
        <w:numPr>
          <w:ilvl w:val="0"/>
          <w:numId w:val="9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приетите промени през месец март 2021 г. в Закона за управление на отпадъците е необходимо да се предприемат действия за промяна в Наредбата за управление на отпадъците на тер</w:t>
      </w:r>
      <w:r w:rsidR="00465959">
        <w:rPr>
          <w:rFonts w:ascii="Times New Roman" w:hAnsi="Times New Roman" w:cs="Times New Roman"/>
          <w:sz w:val="24"/>
          <w:szCs w:val="24"/>
        </w:rPr>
        <w:t>иторията на община Благоевград.</w:t>
      </w:r>
    </w:p>
    <w:p w:rsidR="00465959" w:rsidRPr="007F3CDD" w:rsidRDefault="00CE07B0" w:rsidP="00B20755">
      <w:pPr>
        <w:pStyle w:val="a3"/>
        <w:numPr>
          <w:ilvl w:val="0"/>
          <w:numId w:val="9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3CDD">
        <w:rPr>
          <w:rFonts w:ascii="Times New Roman" w:hAnsi="Times New Roman" w:cs="Times New Roman"/>
          <w:sz w:val="24"/>
          <w:szCs w:val="24"/>
        </w:rPr>
        <w:t>Необходимо е и да се актуализира и Наредба за определянето и администрирането на местните такси и цени на услуги на територията на община Благоевград с цел спазване в пълна степен на изискванията за местни данъци и такси и прилагане принципа „Замърсителя плаща“.</w:t>
      </w:r>
    </w:p>
    <w:p w:rsidR="007F3CDD" w:rsidRDefault="007F3CDD" w:rsidP="007F3CD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CDD" w:rsidRPr="007F3CDD" w:rsidRDefault="007F3CDD" w:rsidP="005831A8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Изводи и препоръки от анализа и оценката на стратегическите документи</w:t>
      </w:r>
    </w:p>
    <w:p w:rsidR="007F3CDD" w:rsidRDefault="007F3CDD" w:rsidP="005831A8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Съществуващите стратегически документи за територията на община Благоевград са в съответствие с националните.</w:t>
      </w:r>
    </w:p>
    <w:p w:rsidR="007F3CDD" w:rsidRDefault="007F3CDD" w:rsidP="005831A8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изработването на Програма за управление на отпадъците на община Благоевград за периода 2021</w:t>
      </w:r>
      <w:r w:rsidR="00BA4668">
        <w:rPr>
          <w:rFonts w:ascii="Times New Roman" w:hAnsi="Times New Roman" w:cs="Times New Roman"/>
          <w:sz w:val="24"/>
          <w:szCs w:val="24"/>
        </w:rPr>
        <w:t>-2028</w:t>
      </w:r>
      <w:r w:rsidR="00984C10">
        <w:rPr>
          <w:rFonts w:ascii="Times New Roman" w:hAnsi="Times New Roman" w:cs="Times New Roman"/>
          <w:sz w:val="24"/>
          <w:szCs w:val="24"/>
        </w:rPr>
        <w:t xml:space="preserve"> г. следва да се съобразят съдържанието и целите, заложени в НПУО 2021-2028 г.</w:t>
      </w:r>
    </w:p>
    <w:p w:rsidR="00984C10" w:rsidRPr="005737AB" w:rsidRDefault="00984C10" w:rsidP="005831A8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осигуряване на финансиране от фондовете на Европейски съюз е необходимо в програмата на общината за периода до 2028 г. да се заложат мерки, отговарящи на определените в Програма за околна среда (ПОС) </w:t>
      </w:r>
      <w:r w:rsidRPr="004A7EBB">
        <w:rPr>
          <w:rFonts w:ascii="Times New Roman" w:hAnsi="Times New Roman" w:cs="Times New Roman"/>
          <w:sz w:val="24"/>
          <w:szCs w:val="24"/>
        </w:rPr>
        <w:t>2021-2028 г.</w:t>
      </w:r>
    </w:p>
    <w:p w:rsidR="005737AB" w:rsidRDefault="005737AB" w:rsidP="005737AB">
      <w:pPr>
        <w:pStyle w:val="a3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737AB" w:rsidRPr="00461158" w:rsidRDefault="00461158" w:rsidP="005831A8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Изводи и препоръки от дейността на регионалното сдружение</w:t>
      </w:r>
    </w:p>
    <w:p w:rsidR="00461158" w:rsidRDefault="00461158" w:rsidP="005831A8">
      <w:pPr>
        <w:pStyle w:val="a3"/>
        <w:numPr>
          <w:ilvl w:val="0"/>
          <w:numId w:val="11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Дейността на регионалното сдружение за управление на отпадъците – Благоевград е добре организирана и съответства на изискванията за Закона за управление на отпадъците.</w:t>
      </w:r>
    </w:p>
    <w:p w:rsidR="00461158" w:rsidRDefault="00461158" w:rsidP="005831A8">
      <w:pPr>
        <w:pStyle w:val="a3"/>
        <w:numPr>
          <w:ilvl w:val="0"/>
          <w:numId w:val="11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определяне на съоръженията са взети предвид заложените в нормативната уредба цели.</w:t>
      </w:r>
    </w:p>
    <w:p w:rsidR="00461158" w:rsidRDefault="0019034A" w:rsidP="005831A8">
      <w:pPr>
        <w:pStyle w:val="a3"/>
        <w:numPr>
          <w:ilvl w:val="0"/>
          <w:numId w:val="11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подобряване организацията по управление на отпадъците следва да се обърне внимание на подобряване разделното събиране</w:t>
      </w:r>
      <w:r w:rsidR="00AA7279">
        <w:rPr>
          <w:rFonts w:ascii="Times New Roman" w:hAnsi="Times New Roman" w:cs="Times New Roman"/>
          <w:sz w:val="24"/>
          <w:szCs w:val="24"/>
        </w:rPr>
        <w:t xml:space="preserve"> като се използват добри практики от други общини и държави във връзка с разделно събиране на отпадъци и стимулиране на населението да разделя отпадъците при тяхното </w:t>
      </w:r>
      <w:r w:rsidR="004A7EBB">
        <w:rPr>
          <w:rFonts w:ascii="Times New Roman" w:hAnsi="Times New Roman" w:cs="Times New Roman"/>
          <w:sz w:val="24"/>
          <w:szCs w:val="24"/>
        </w:rPr>
        <w:t xml:space="preserve">образуване и </w:t>
      </w:r>
      <w:r w:rsidR="00AA7279">
        <w:rPr>
          <w:rFonts w:ascii="Times New Roman" w:hAnsi="Times New Roman" w:cs="Times New Roman"/>
          <w:sz w:val="24"/>
          <w:szCs w:val="24"/>
        </w:rPr>
        <w:t>изхвърляне.</w:t>
      </w:r>
    </w:p>
    <w:p w:rsidR="00AA7279" w:rsidRDefault="00AA7279" w:rsidP="005831A8">
      <w:pPr>
        <w:pStyle w:val="a3"/>
        <w:numPr>
          <w:ilvl w:val="0"/>
          <w:numId w:val="11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Работата на сдружението следва да се насочи към справедливо облагане на база количеството генерирани отпадъци.</w:t>
      </w:r>
    </w:p>
    <w:p w:rsidR="00AA7279" w:rsidRDefault="00AA7279" w:rsidP="005831A8">
      <w:pPr>
        <w:pStyle w:val="a3"/>
        <w:numPr>
          <w:ilvl w:val="0"/>
          <w:numId w:val="11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Въвеждане на икономически стимул за намаляване на дела на използваните (закупуваните) продукти, които водят до образуването на отпадъци и/или да се оптимизират съществуващите производства и предлагани продукти. Удължаване на жизнения цикъл на продуктите и въвеждане на мерки за повторна употреба на стоки и продукти.</w:t>
      </w:r>
    </w:p>
    <w:p w:rsidR="00AA7279" w:rsidRDefault="00AA7279" w:rsidP="005831A8">
      <w:pPr>
        <w:pStyle w:val="a3"/>
        <w:numPr>
          <w:ilvl w:val="0"/>
          <w:numId w:val="11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се подобри работата по съвместно изпълнение на целите за рециклиране и намаляване на количествата на депонираните отпадъци.</w:t>
      </w:r>
    </w:p>
    <w:p w:rsidR="00AA7279" w:rsidRDefault="00AA7279" w:rsidP="005831A8">
      <w:pPr>
        <w:pStyle w:val="a3"/>
        <w:numPr>
          <w:ilvl w:val="0"/>
          <w:numId w:val="11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Организиране и провеждане на съвместни разяснителни и образователни кампании за ползата от разделно събиране и предотвратяване образуването н отпадъците.</w:t>
      </w:r>
    </w:p>
    <w:p w:rsidR="00ED2D7E" w:rsidRDefault="00ED2D7E" w:rsidP="00ED2D7E">
      <w:pPr>
        <w:pStyle w:val="a3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D2D7E" w:rsidRPr="00434ACD" w:rsidRDefault="00434ACD" w:rsidP="005831A8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Изводи и препоръки от анализа на инфраструктура </w:t>
      </w:r>
    </w:p>
    <w:p w:rsidR="00434ACD" w:rsidRDefault="00434ACD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543F9">
        <w:rPr>
          <w:rFonts w:ascii="Times New Roman" w:hAnsi="Times New Roman" w:cs="Times New Roman"/>
          <w:sz w:val="24"/>
          <w:szCs w:val="24"/>
        </w:rPr>
        <w:t>бщината разполага с необходимата инфраструктура за третиране на битовите отпадъци, включително</w:t>
      </w:r>
      <w:r w:rsidR="008A11EF">
        <w:rPr>
          <w:rFonts w:ascii="Times New Roman" w:hAnsi="Times New Roman" w:cs="Times New Roman"/>
          <w:sz w:val="24"/>
          <w:szCs w:val="24"/>
        </w:rPr>
        <w:t xml:space="preserve"> и съоръжения за предварително третиране, което </w:t>
      </w:r>
      <w:r w:rsidR="004A7EBB">
        <w:rPr>
          <w:rFonts w:ascii="Times New Roman" w:hAnsi="Times New Roman" w:cs="Times New Roman"/>
          <w:sz w:val="24"/>
          <w:szCs w:val="24"/>
        </w:rPr>
        <w:t>предстои</w:t>
      </w:r>
      <w:r w:rsidR="008A11EF">
        <w:rPr>
          <w:rFonts w:ascii="Times New Roman" w:hAnsi="Times New Roman" w:cs="Times New Roman"/>
          <w:sz w:val="24"/>
          <w:szCs w:val="24"/>
        </w:rPr>
        <w:t xml:space="preserve"> </w:t>
      </w:r>
      <w:r w:rsidR="004A7EBB">
        <w:rPr>
          <w:rFonts w:ascii="Times New Roman" w:hAnsi="Times New Roman" w:cs="Times New Roman"/>
          <w:sz w:val="24"/>
          <w:szCs w:val="24"/>
        </w:rPr>
        <w:t>да се въведе</w:t>
      </w:r>
      <w:r w:rsidR="008A11EF">
        <w:rPr>
          <w:rFonts w:ascii="Times New Roman" w:hAnsi="Times New Roman" w:cs="Times New Roman"/>
          <w:sz w:val="24"/>
          <w:szCs w:val="24"/>
        </w:rPr>
        <w:t xml:space="preserve"> в експлоатация.</w:t>
      </w:r>
    </w:p>
    <w:p w:rsidR="008A11EF" w:rsidRDefault="008A11EF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въведена в експлоатация </w:t>
      </w:r>
      <w:r w:rsidR="004A7EBB">
        <w:rPr>
          <w:rFonts w:ascii="Times New Roman" w:hAnsi="Times New Roman" w:cs="Times New Roman"/>
          <w:sz w:val="24"/>
          <w:szCs w:val="24"/>
        </w:rPr>
        <w:t>и изградената инсталация</w:t>
      </w:r>
      <w:r>
        <w:rPr>
          <w:rFonts w:ascii="Times New Roman" w:hAnsi="Times New Roman" w:cs="Times New Roman"/>
          <w:sz w:val="24"/>
          <w:szCs w:val="24"/>
        </w:rPr>
        <w:t xml:space="preserve"> за компостиране на биоотпадъците.</w:t>
      </w:r>
    </w:p>
    <w:p w:rsidR="008A11EF" w:rsidRDefault="008A11EF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 на реализиране е инсталация за анаеробно разграждане на биоразградимите отпадъци.</w:t>
      </w:r>
    </w:p>
    <w:p w:rsidR="008A11EF" w:rsidRDefault="008A11EF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Общината е обезпечена със съдове и транспортни средства за осигуряване събирането и транспортирането на битовите отпадъци.</w:t>
      </w:r>
    </w:p>
    <w:p w:rsidR="008A11EF" w:rsidRDefault="008A11EF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още е голям делът на депонираните отпадъци, което обуславя необходимост от изграждане на допълнителна клетка на регионалното депо за остатъчни отпадъци.</w:t>
      </w:r>
    </w:p>
    <w:p w:rsidR="00FE4221" w:rsidRDefault="00FE4221" w:rsidP="00FE4221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опасните отпадъци от домакинствата е осигурен договор с юридическо лице.</w:t>
      </w:r>
    </w:p>
    <w:p w:rsidR="00FE4221" w:rsidRDefault="00FE4221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сключен договор с юридическо лице за сътрудничество в областта на разделно събраните масово разпространени отпадъци: излезлите от употреба моторни превозни средства, излязло от употреба електрическо и електронно оборудване и негодните за употреба батерии и акумулатори (ИУМПС, ИУЕЕО и НУБА).</w:t>
      </w:r>
    </w:p>
    <w:p w:rsidR="004A7EBB" w:rsidRDefault="004A7EBB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излезлите от употреба гуми</w:t>
      </w:r>
      <w:r w:rsidR="00FE4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е сключен договор с юридическо лице.</w:t>
      </w:r>
    </w:p>
    <w:p w:rsidR="008A11EF" w:rsidRPr="00B165FA" w:rsidRDefault="008A11EF" w:rsidP="005831A8">
      <w:pPr>
        <w:pStyle w:val="a3"/>
        <w:numPr>
          <w:ilvl w:val="0"/>
          <w:numId w:val="12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се осигур</w:t>
      </w:r>
      <w:r w:rsidR="004A7EB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необходим</w:t>
      </w:r>
      <w:r w:rsidR="004A7EBB">
        <w:rPr>
          <w:rFonts w:ascii="Times New Roman" w:hAnsi="Times New Roman" w:cs="Times New Roman"/>
          <w:sz w:val="24"/>
          <w:szCs w:val="24"/>
        </w:rPr>
        <w:t xml:space="preserve">ата </w:t>
      </w:r>
      <w:r>
        <w:rPr>
          <w:rFonts w:ascii="Times New Roman" w:hAnsi="Times New Roman" w:cs="Times New Roman"/>
          <w:sz w:val="24"/>
          <w:szCs w:val="24"/>
        </w:rPr>
        <w:t>систем</w:t>
      </w:r>
      <w:r w:rsidR="004A7EB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за разделно събиране на </w:t>
      </w:r>
      <w:r w:rsidR="00377EB3">
        <w:rPr>
          <w:rFonts w:ascii="Times New Roman" w:hAnsi="Times New Roman" w:cs="Times New Roman"/>
          <w:sz w:val="24"/>
          <w:szCs w:val="24"/>
        </w:rPr>
        <w:t xml:space="preserve">масово разпространените отпадъци, за които към настоящият момент няма </w:t>
      </w:r>
      <w:r w:rsidR="004A7EBB">
        <w:rPr>
          <w:rFonts w:ascii="Times New Roman" w:hAnsi="Times New Roman" w:cs="Times New Roman"/>
          <w:sz w:val="24"/>
          <w:szCs w:val="24"/>
        </w:rPr>
        <w:t>такава</w:t>
      </w:r>
      <w:r w:rsidR="00FE4221">
        <w:rPr>
          <w:rFonts w:ascii="Times New Roman" w:hAnsi="Times New Roman" w:cs="Times New Roman"/>
          <w:sz w:val="24"/>
          <w:szCs w:val="24"/>
        </w:rPr>
        <w:t>, а именно</w:t>
      </w:r>
      <w:r w:rsidR="00377EB3">
        <w:rPr>
          <w:rFonts w:ascii="Times New Roman" w:hAnsi="Times New Roman" w:cs="Times New Roman"/>
          <w:sz w:val="24"/>
          <w:szCs w:val="24"/>
        </w:rPr>
        <w:t xml:space="preserve"> </w:t>
      </w:r>
      <w:r w:rsidR="004A7EBB">
        <w:rPr>
          <w:rFonts w:ascii="Times New Roman" w:hAnsi="Times New Roman" w:cs="Times New Roman"/>
          <w:sz w:val="24"/>
          <w:szCs w:val="24"/>
        </w:rPr>
        <w:t xml:space="preserve">за </w:t>
      </w:r>
      <w:r w:rsidR="00377EB3">
        <w:rPr>
          <w:rFonts w:ascii="Times New Roman" w:hAnsi="Times New Roman" w:cs="Times New Roman"/>
          <w:sz w:val="24"/>
          <w:szCs w:val="24"/>
        </w:rPr>
        <w:t>отработени масла и отпадъчни нефтопродукти</w:t>
      </w:r>
      <w:r w:rsidR="004A7EBB">
        <w:rPr>
          <w:rFonts w:ascii="Times New Roman" w:hAnsi="Times New Roman" w:cs="Times New Roman"/>
          <w:sz w:val="24"/>
          <w:szCs w:val="24"/>
        </w:rPr>
        <w:t>.</w:t>
      </w:r>
    </w:p>
    <w:p w:rsidR="00B165FA" w:rsidRDefault="00B165FA" w:rsidP="00B165FA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5FA" w:rsidRPr="00B165FA" w:rsidRDefault="00B165FA" w:rsidP="005831A8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Изводи и препоръки от анализа и оценката на изпълнение на контролните функции от страна на община Благоевград</w:t>
      </w:r>
    </w:p>
    <w:p w:rsidR="00CF7CF1" w:rsidRDefault="00CF7CF1" w:rsidP="005831A8">
      <w:pPr>
        <w:pStyle w:val="a3"/>
        <w:numPr>
          <w:ilvl w:val="0"/>
          <w:numId w:val="13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7CF1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Необходими са допълнителни обучения на </w:t>
      </w:r>
      <w:r w:rsidR="00FE4221">
        <w:rPr>
          <w:rFonts w:ascii="Times New Roman" w:hAnsi="Times New Roman" w:cs="Times New Roman"/>
          <w:sz w:val="24"/>
          <w:szCs w:val="24"/>
        </w:rPr>
        <w:t>експертите</w:t>
      </w:r>
      <w:r w:rsidR="002D27A1">
        <w:rPr>
          <w:rFonts w:ascii="Times New Roman" w:hAnsi="Times New Roman" w:cs="Times New Roman"/>
          <w:sz w:val="24"/>
          <w:szCs w:val="24"/>
        </w:rPr>
        <w:t xml:space="preserve"> от дирекцията и инспекторите от звено „Инспекторат“ по отношение</w:t>
      </w:r>
      <w:r w:rsidRPr="00CF7CF1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2D27A1">
        <w:rPr>
          <w:rFonts w:ascii="Times New Roman" w:hAnsi="Times New Roman" w:cs="Times New Roman"/>
          <w:sz w:val="24"/>
          <w:szCs w:val="24"/>
        </w:rPr>
        <w:t>то</w:t>
      </w:r>
      <w:r w:rsidRPr="00CF7CF1">
        <w:rPr>
          <w:rFonts w:ascii="Times New Roman" w:hAnsi="Times New Roman" w:cs="Times New Roman"/>
          <w:sz w:val="24"/>
          <w:szCs w:val="24"/>
        </w:rPr>
        <w:t xml:space="preserve"> на отпадъците във връзка с</w:t>
      </w:r>
      <w:r w:rsidR="002D27A1">
        <w:rPr>
          <w:rFonts w:ascii="Times New Roman" w:hAnsi="Times New Roman" w:cs="Times New Roman"/>
          <w:sz w:val="24"/>
          <w:szCs w:val="24"/>
        </w:rPr>
        <w:t>ъс съответните</w:t>
      </w:r>
      <w:r w:rsidRPr="00CF7CF1">
        <w:rPr>
          <w:rFonts w:ascii="Times New Roman" w:hAnsi="Times New Roman" w:cs="Times New Roman"/>
          <w:sz w:val="24"/>
          <w:szCs w:val="24"/>
        </w:rPr>
        <w:t xml:space="preserve"> нормативни изисквания.</w:t>
      </w:r>
    </w:p>
    <w:p w:rsidR="00F23FDA" w:rsidRDefault="00F23FDA" w:rsidP="005831A8">
      <w:pPr>
        <w:pStyle w:val="a3"/>
        <w:numPr>
          <w:ilvl w:val="0"/>
          <w:numId w:val="13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Общината следва да разработи информационна платформа по отношение на контролната дейност.</w:t>
      </w:r>
    </w:p>
    <w:p w:rsidR="00F23FDA" w:rsidRDefault="00F23FDA" w:rsidP="00F23FDA">
      <w:pPr>
        <w:pStyle w:val="a3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3FDA" w:rsidRPr="00774D46" w:rsidRDefault="00F23FDA" w:rsidP="005831A8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Изводи и препоръки от анализа на въведените икономически инструменти и стимули</w:t>
      </w:r>
    </w:p>
    <w:p w:rsidR="00774D46" w:rsidRDefault="00A4069E" w:rsidP="005831A8">
      <w:pPr>
        <w:pStyle w:val="a3"/>
        <w:numPr>
          <w:ilvl w:val="0"/>
          <w:numId w:val="1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Принципът „Разширена отговорност на производителя“ не се прилага на територията на общината за отработени масла </w:t>
      </w:r>
      <w:r w:rsidRPr="002D27A1">
        <w:rPr>
          <w:rFonts w:ascii="Times New Roman" w:hAnsi="Times New Roman" w:cs="Times New Roman"/>
          <w:sz w:val="24"/>
          <w:szCs w:val="24"/>
        </w:rPr>
        <w:t xml:space="preserve">и </w:t>
      </w:r>
      <w:r w:rsidR="002D27A1">
        <w:rPr>
          <w:rFonts w:ascii="Times New Roman" w:hAnsi="Times New Roman" w:cs="Times New Roman"/>
          <w:sz w:val="24"/>
          <w:szCs w:val="24"/>
        </w:rPr>
        <w:t>отпадъчните нефтопродукти.</w:t>
      </w:r>
    </w:p>
    <w:p w:rsidR="00A4069E" w:rsidRDefault="00C75EAF" w:rsidP="005831A8">
      <w:pPr>
        <w:pStyle w:val="a3"/>
        <w:numPr>
          <w:ilvl w:val="0"/>
          <w:numId w:val="1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Благоевград</w:t>
      </w:r>
      <w:r w:rsidR="00AF0749">
        <w:rPr>
          <w:rFonts w:ascii="Times New Roman" w:hAnsi="Times New Roman" w:cs="Times New Roman"/>
          <w:sz w:val="24"/>
          <w:szCs w:val="24"/>
        </w:rPr>
        <w:t xml:space="preserve"> се възползва от възможностите за изпълнение на пр</w:t>
      </w:r>
      <w:r w:rsidR="002D27A1">
        <w:rPr>
          <w:rFonts w:ascii="Times New Roman" w:hAnsi="Times New Roman" w:cs="Times New Roman"/>
          <w:sz w:val="24"/>
          <w:szCs w:val="24"/>
        </w:rPr>
        <w:t>оекти в сектор О</w:t>
      </w:r>
      <w:r w:rsidR="00AF0749">
        <w:rPr>
          <w:rFonts w:ascii="Times New Roman" w:hAnsi="Times New Roman" w:cs="Times New Roman"/>
          <w:sz w:val="24"/>
          <w:szCs w:val="24"/>
        </w:rPr>
        <w:t>тпадъци с безвъзмездна финансова помощ от национални и европейски източници на финансиране.</w:t>
      </w:r>
    </w:p>
    <w:p w:rsidR="00AF0749" w:rsidRDefault="005F61C8" w:rsidP="005831A8">
      <w:pPr>
        <w:pStyle w:val="a3"/>
        <w:numPr>
          <w:ilvl w:val="0"/>
          <w:numId w:val="1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Обезпеченията по чл. 60 и отчисленията по чл. 64 от ЗУО</w:t>
      </w:r>
      <w:r w:rsidR="007543F1">
        <w:rPr>
          <w:rFonts w:ascii="Times New Roman" w:hAnsi="Times New Roman" w:cs="Times New Roman"/>
          <w:sz w:val="24"/>
          <w:szCs w:val="24"/>
        </w:rPr>
        <w:t xml:space="preserve"> са икономически инструменти, насочени към намаляване на количествата на директно депонираните отпадъци. Не може да се направи извод за ефективността на този инструмент, тъй като </w:t>
      </w:r>
      <w:r w:rsidR="002D27A1">
        <w:rPr>
          <w:rFonts w:ascii="Times New Roman" w:hAnsi="Times New Roman" w:cs="Times New Roman"/>
          <w:sz w:val="24"/>
          <w:szCs w:val="24"/>
        </w:rPr>
        <w:t>все още не се плащат</w:t>
      </w:r>
      <w:r w:rsidR="007543F1">
        <w:rPr>
          <w:rFonts w:ascii="Times New Roman" w:hAnsi="Times New Roman" w:cs="Times New Roman"/>
          <w:sz w:val="24"/>
          <w:szCs w:val="24"/>
        </w:rPr>
        <w:t xml:space="preserve"> своевременно дължимите суми от </w:t>
      </w:r>
      <w:r w:rsidR="002D27A1">
        <w:rPr>
          <w:rFonts w:ascii="Times New Roman" w:hAnsi="Times New Roman" w:cs="Times New Roman"/>
          <w:sz w:val="24"/>
          <w:szCs w:val="24"/>
        </w:rPr>
        <w:t>О</w:t>
      </w:r>
      <w:r w:rsidR="007543F1">
        <w:rPr>
          <w:rFonts w:ascii="Times New Roman" w:hAnsi="Times New Roman" w:cs="Times New Roman"/>
          <w:sz w:val="24"/>
          <w:szCs w:val="24"/>
        </w:rPr>
        <w:t>бщина Благоевград.</w:t>
      </w:r>
    </w:p>
    <w:p w:rsidR="007543F1" w:rsidRPr="00CF7CF1" w:rsidRDefault="007543F1" w:rsidP="005831A8">
      <w:pPr>
        <w:pStyle w:val="a3"/>
        <w:numPr>
          <w:ilvl w:val="0"/>
          <w:numId w:val="14"/>
        </w:numPr>
        <w:tabs>
          <w:tab w:val="left" w:pos="0"/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Такса битови отпадъци е икономически инструмент, който трябва да материализира прилагането на принципа „Замърсителя плаща“ по отношение на домакинствата и фирмите, генериращи битови отпадъци. Понастоящем, обаче, тя се определя като промил върху данъчната/отчетната стойност на имотите и не е обвързана с количеството </w:t>
      </w:r>
      <w:r w:rsidR="007745EE">
        <w:rPr>
          <w:rFonts w:ascii="Times New Roman" w:hAnsi="Times New Roman" w:cs="Times New Roman"/>
          <w:sz w:val="24"/>
          <w:szCs w:val="24"/>
        </w:rPr>
        <w:t>на генерираните от домакинствата отпадъци.</w:t>
      </w:r>
    </w:p>
    <w:sectPr w:rsidR="007543F1" w:rsidRPr="00CF7CF1" w:rsidSect="00C31CEF">
      <w:footerReference w:type="default" r:id="rId9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946" w:rsidRDefault="00D85946" w:rsidP="00CE07B0">
      <w:pPr>
        <w:spacing w:after="0" w:line="240" w:lineRule="auto"/>
      </w:pPr>
      <w:r>
        <w:separator/>
      </w:r>
    </w:p>
  </w:endnote>
  <w:endnote w:type="continuationSeparator" w:id="0">
    <w:p w:rsidR="00D85946" w:rsidRDefault="00D85946" w:rsidP="00CE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111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7B0" w:rsidRDefault="00CE07B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6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E07B0" w:rsidRDefault="00CE07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946" w:rsidRDefault="00D85946" w:rsidP="00CE07B0">
      <w:pPr>
        <w:spacing w:after="0" w:line="240" w:lineRule="auto"/>
      </w:pPr>
      <w:r>
        <w:separator/>
      </w:r>
    </w:p>
  </w:footnote>
  <w:footnote w:type="continuationSeparator" w:id="0">
    <w:p w:rsidR="00D85946" w:rsidRDefault="00D85946" w:rsidP="00CE0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5C27"/>
    <w:multiLevelType w:val="hybridMultilevel"/>
    <w:tmpl w:val="3D74E0C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81B"/>
    <w:multiLevelType w:val="hybridMultilevel"/>
    <w:tmpl w:val="A372FA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E3BCA"/>
    <w:multiLevelType w:val="hybridMultilevel"/>
    <w:tmpl w:val="6EBA4B7A"/>
    <w:lvl w:ilvl="0" w:tplc="0B9A8E1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E000DC3"/>
    <w:multiLevelType w:val="hybridMultilevel"/>
    <w:tmpl w:val="25E2BB0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97B29"/>
    <w:multiLevelType w:val="hybridMultilevel"/>
    <w:tmpl w:val="2804684E"/>
    <w:lvl w:ilvl="0" w:tplc="DBAAC0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54B33"/>
    <w:multiLevelType w:val="hybridMultilevel"/>
    <w:tmpl w:val="66424A3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33B54"/>
    <w:multiLevelType w:val="hybridMultilevel"/>
    <w:tmpl w:val="6BBA23F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71EE7"/>
    <w:multiLevelType w:val="hybridMultilevel"/>
    <w:tmpl w:val="51800E3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214E6"/>
    <w:multiLevelType w:val="hybridMultilevel"/>
    <w:tmpl w:val="FCDAD5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66D1F"/>
    <w:multiLevelType w:val="hybridMultilevel"/>
    <w:tmpl w:val="FFF0474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616A62"/>
    <w:multiLevelType w:val="hybridMultilevel"/>
    <w:tmpl w:val="F2FA213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A477F"/>
    <w:multiLevelType w:val="hybridMultilevel"/>
    <w:tmpl w:val="0926567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86DAA"/>
    <w:multiLevelType w:val="hybridMultilevel"/>
    <w:tmpl w:val="E55CA84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BF70F1"/>
    <w:multiLevelType w:val="hybridMultilevel"/>
    <w:tmpl w:val="7B3E860A"/>
    <w:lvl w:ilvl="0" w:tplc="C23871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11"/>
  </w:num>
  <w:num w:numId="12">
    <w:abstractNumId w:val="3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D7"/>
    <w:rsid w:val="0003287F"/>
    <w:rsid w:val="000536E2"/>
    <w:rsid w:val="000543F9"/>
    <w:rsid w:val="00056503"/>
    <w:rsid w:val="0006705D"/>
    <w:rsid w:val="0007641A"/>
    <w:rsid w:val="000A4733"/>
    <w:rsid w:val="000B19D8"/>
    <w:rsid w:val="000F2F81"/>
    <w:rsid w:val="00125AC0"/>
    <w:rsid w:val="00155DB8"/>
    <w:rsid w:val="00162067"/>
    <w:rsid w:val="0019034A"/>
    <w:rsid w:val="001F59C7"/>
    <w:rsid w:val="002A69DA"/>
    <w:rsid w:val="002C1615"/>
    <w:rsid w:val="002D27A1"/>
    <w:rsid w:val="002F0624"/>
    <w:rsid w:val="003108EC"/>
    <w:rsid w:val="00353597"/>
    <w:rsid w:val="00377EB3"/>
    <w:rsid w:val="003911DF"/>
    <w:rsid w:val="003B19A7"/>
    <w:rsid w:val="003E7EF3"/>
    <w:rsid w:val="004227EE"/>
    <w:rsid w:val="00434ACD"/>
    <w:rsid w:val="00450C7B"/>
    <w:rsid w:val="00461158"/>
    <w:rsid w:val="004634CB"/>
    <w:rsid w:val="00465959"/>
    <w:rsid w:val="00476B44"/>
    <w:rsid w:val="004A7EBB"/>
    <w:rsid w:val="00511E73"/>
    <w:rsid w:val="00512B8C"/>
    <w:rsid w:val="00516804"/>
    <w:rsid w:val="00566063"/>
    <w:rsid w:val="00571157"/>
    <w:rsid w:val="005737AB"/>
    <w:rsid w:val="005831A8"/>
    <w:rsid w:val="00584CDF"/>
    <w:rsid w:val="005F61C8"/>
    <w:rsid w:val="006519A9"/>
    <w:rsid w:val="0066203F"/>
    <w:rsid w:val="006723D6"/>
    <w:rsid w:val="00676551"/>
    <w:rsid w:val="006C07D0"/>
    <w:rsid w:val="006D049D"/>
    <w:rsid w:val="00704529"/>
    <w:rsid w:val="00713B2C"/>
    <w:rsid w:val="00745CC0"/>
    <w:rsid w:val="00746A6F"/>
    <w:rsid w:val="007477ED"/>
    <w:rsid w:val="00753FD1"/>
    <w:rsid w:val="007543F1"/>
    <w:rsid w:val="007637B0"/>
    <w:rsid w:val="007745EE"/>
    <w:rsid w:val="00774D46"/>
    <w:rsid w:val="007C686E"/>
    <w:rsid w:val="007F3CDD"/>
    <w:rsid w:val="007F480D"/>
    <w:rsid w:val="008324F8"/>
    <w:rsid w:val="00834DFF"/>
    <w:rsid w:val="00894593"/>
    <w:rsid w:val="00895B9F"/>
    <w:rsid w:val="008A11EF"/>
    <w:rsid w:val="00904D87"/>
    <w:rsid w:val="00943A54"/>
    <w:rsid w:val="00965519"/>
    <w:rsid w:val="009658CF"/>
    <w:rsid w:val="00984C10"/>
    <w:rsid w:val="00990537"/>
    <w:rsid w:val="009B3681"/>
    <w:rsid w:val="009B54D2"/>
    <w:rsid w:val="009D491A"/>
    <w:rsid w:val="009E2AD3"/>
    <w:rsid w:val="009F39A9"/>
    <w:rsid w:val="00A272EA"/>
    <w:rsid w:val="00A331EF"/>
    <w:rsid w:val="00A4069E"/>
    <w:rsid w:val="00A85E14"/>
    <w:rsid w:val="00A92EB8"/>
    <w:rsid w:val="00AA1CD0"/>
    <w:rsid w:val="00AA7279"/>
    <w:rsid w:val="00AC1971"/>
    <w:rsid w:val="00AF0749"/>
    <w:rsid w:val="00B165FA"/>
    <w:rsid w:val="00B20755"/>
    <w:rsid w:val="00B36494"/>
    <w:rsid w:val="00B50ED5"/>
    <w:rsid w:val="00B81E4F"/>
    <w:rsid w:val="00B87CBF"/>
    <w:rsid w:val="00B93725"/>
    <w:rsid w:val="00BA4668"/>
    <w:rsid w:val="00BE3D74"/>
    <w:rsid w:val="00C31CEF"/>
    <w:rsid w:val="00C75EAF"/>
    <w:rsid w:val="00CE07B0"/>
    <w:rsid w:val="00CE2B5A"/>
    <w:rsid w:val="00CF7CF1"/>
    <w:rsid w:val="00D318C9"/>
    <w:rsid w:val="00D34A93"/>
    <w:rsid w:val="00D85946"/>
    <w:rsid w:val="00D9080D"/>
    <w:rsid w:val="00DF29CF"/>
    <w:rsid w:val="00E10BE1"/>
    <w:rsid w:val="00E403B9"/>
    <w:rsid w:val="00E8257D"/>
    <w:rsid w:val="00ED2D7E"/>
    <w:rsid w:val="00F23FDA"/>
    <w:rsid w:val="00F409CE"/>
    <w:rsid w:val="00F620D7"/>
    <w:rsid w:val="00FA17D4"/>
    <w:rsid w:val="00FC51BE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E07B0"/>
  </w:style>
  <w:style w:type="paragraph" w:styleId="a6">
    <w:name w:val="footer"/>
    <w:basedOn w:val="a"/>
    <w:link w:val="a7"/>
    <w:uiPriority w:val="99"/>
    <w:unhideWhenUsed/>
    <w:rsid w:val="00CE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E0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E07B0"/>
  </w:style>
  <w:style w:type="paragraph" w:styleId="a6">
    <w:name w:val="footer"/>
    <w:basedOn w:val="a"/>
    <w:link w:val="a7"/>
    <w:uiPriority w:val="99"/>
    <w:unhideWhenUsed/>
    <w:rsid w:val="00CE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E0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2DA7A-EF37-4764-ADB6-FB199D23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1332</Words>
  <Characters>7598</Characters>
  <Application>Microsoft Office Word</Application>
  <DocSecurity>0</DocSecurity>
  <Lines>63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Ralica</dc:creator>
  <cp:keywords/>
  <dc:description/>
  <cp:lastModifiedBy>Miglena Petrova</cp:lastModifiedBy>
  <cp:revision>102</cp:revision>
  <dcterms:created xsi:type="dcterms:W3CDTF">2021-11-03T13:09:00Z</dcterms:created>
  <dcterms:modified xsi:type="dcterms:W3CDTF">2021-11-04T14:20:00Z</dcterms:modified>
</cp:coreProperties>
</file>